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09DB48" w14:textId="77777777" w:rsidR="005B61B3" w:rsidRDefault="005B61B3" w:rsidP="00D9108F">
      <w:pPr>
        <w:spacing w:after="0" w:line="240" w:lineRule="auto"/>
        <w:rPr>
          <w:rFonts w:eastAsia="Times New Roman" w:cstheme="minorHAnsi"/>
          <w:color w:val="000000"/>
          <w:sz w:val="24"/>
          <w:szCs w:val="24"/>
          <w:lang w:eastAsia="pl-PL"/>
        </w:rPr>
      </w:pPr>
    </w:p>
    <w:p w14:paraId="202E85B7" w14:textId="6AEDE9C1" w:rsidR="005B61B3" w:rsidRPr="005B61B3" w:rsidRDefault="005B61B3" w:rsidP="005B61B3">
      <w:pPr>
        <w:suppressAutoHyphens/>
        <w:spacing w:after="0" w:line="240" w:lineRule="auto"/>
        <w:rPr>
          <w:rFonts w:eastAsia="Calibri" w:cstheme="minorHAnsi"/>
          <w:sz w:val="24"/>
          <w:szCs w:val="24"/>
          <w:lang w:eastAsia="zh-CN"/>
        </w:rPr>
      </w:pPr>
      <w:r w:rsidRPr="005B61B3">
        <w:rPr>
          <w:rFonts w:eastAsia="Times New Roman" w:cstheme="minorHAnsi"/>
          <w:b/>
          <w:sz w:val="24"/>
          <w:szCs w:val="24"/>
          <w:lang w:eastAsia="pl-PL"/>
        </w:rPr>
        <w:t>ZP.271.4.1</w:t>
      </w:r>
      <w:r w:rsidR="00F155BB">
        <w:rPr>
          <w:rFonts w:eastAsia="Times New Roman" w:cstheme="minorHAnsi"/>
          <w:b/>
          <w:sz w:val="24"/>
          <w:szCs w:val="24"/>
          <w:lang w:eastAsia="pl-PL"/>
        </w:rPr>
        <w:t>47</w:t>
      </w:r>
      <w:r w:rsidRPr="005B61B3">
        <w:rPr>
          <w:rFonts w:eastAsia="Times New Roman" w:cstheme="minorHAnsi"/>
          <w:b/>
          <w:sz w:val="24"/>
          <w:szCs w:val="24"/>
          <w:lang w:eastAsia="pl-PL"/>
        </w:rPr>
        <w:t>.2025.JW2</w:t>
      </w:r>
    </w:p>
    <w:p w14:paraId="47917C18" w14:textId="77777777" w:rsidR="005B61B3" w:rsidRPr="005B61B3" w:rsidRDefault="005B61B3" w:rsidP="005B61B3">
      <w:pPr>
        <w:spacing w:after="200" w:line="276" w:lineRule="auto"/>
        <w:rPr>
          <w:rFonts w:eastAsiaTheme="minorEastAsia"/>
          <w:lang w:eastAsia="pl-PL"/>
        </w:rPr>
      </w:pPr>
    </w:p>
    <w:p w14:paraId="51B5921B" w14:textId="518B0CAC" w:rsidR="00DE1C59" w:rsidRDefault="005B61B3" w:rsidP="00CA2C73">
      <w:pPr>
        <w:spacing w:after="200" w:line="276" w:lineRule="auto"/>
        <w:rPr>
          <w:rFonts w:eastAsiaTheme="minorEastAsia"/>
          <w:lang w:eastAsia="pl-PL"/>
        </w:rPr>
      </w:pPr>
      <w:r w:rsidRPr="005B61B3">
        <w:rPr>
          <w:rFonts w:eastAsiaTheme="minorEastAsia"/>
          <w:lang w:eastAsia="pl-PL"/>
        </w:rPr>
        <w:t>Załącznik nr 2– Opis przedmiotu zamówienia</w:t>
      </w:r>
    </w:p>
    <w:p w14:paraId="7294BD6B" w14:textId="77777777" w:rsidR="00F155BB" w:rsidRPr="00F155BB" w:rsidRDefault="00F155BB" w:rsidP="00F155BB">
      <w:pPr>
        <w:spacing w:after="200" w:line="276" w:lineRule="auto"/>
        <w:rPr>
          <w:rFonts w:eastAsiaTheme="minorEastAsia"/>
          <w:lang w:eastAsia="pl-PL"/>
        </w:rPr>
      </w:pPr>
      <w:r w:rsidRPr="00F155BB">
        <w:rPr>
          <w:rFonts w:eastAsiaTheme="minorEastAsia"/>
          <w:lang w:eastAsia="pl-PL"/>
        </w:rPr>
        <w:t xml:space="preserve">Kurs operatora wózka podnośnikowego ( 4 gr po 8 uczestników, łącznie 32 uczestników). </w:t>
      </w:r>
    </w:p>
    <w:p w14:paraId="4F339C45" w14:textId="77777777" w:rsidR="00F155BB" w:rsidRPr="00F155BB" w:rsidRDefault="00F155BB" w:rsidP="00F155BB">
      <w:pPr>
        <w:spacing w:after="200" w:line="276" w:lineRule="auto"/>
        <w:rPr>
          <w:rFonts w:eastAsiaTheme="minorEastAsia"/>
          <w:lang w:eastAsia="pl-PL"/>
        </w:rPr>
      </w:pPr>
      <w:r w:rsidRPr="00F155BB">
        <w:rPr>
          <w:rFonts w:eastAsiaTheme="minorEastAsia"/>
          <w:lang w:eastAsia="pl-PL"/>
        </w:rPr>
        <w:t>Liczba osób objętych wsparciem: 32</w:t>
      </w:r>
      <w:r w:rsidRPr="00F155BB">
        <w:rPr>
          <w:rFonts w:eastAsiaTheme="minorEastAsia"/>
          <w:lang w:eastAsia="pl-PL"/>
        </w:rPr>
        <w:br/>
      </w:r>
      <w:r w:rsidRPr="00F155BB">
        <w:rPr>
          <w:rFonts w:eastAsiaTheme="minorEastAsia"/>
          <w:lang w:eastAsia="pl-PL"/>
        </w:rPr>
        <w:br/>
        <w:t xml:space="preserve">Liczba godzin dydaktycznych/zegarowych kursu: </w:t>
      </w:r>
    </w:p>
    <w:p w14:paraId="09FEDA36" w14:textId="77777777" w:rsidR="00F155BB" w:rsidRPr="00F155BB" w:rsidRDefault="00F155BB" w:rsidP="00F155BB">
      <w:pPr>
        <w:spacing w:after="200" w:line="276" w:lineRule="auto"/>
        <w:rPr>
          <w:rFonts w:eastAsiaTheme="minorEastAsia"/>
          <w:lang w:eastAsia="pl-PL"/>
        </w:rPr>
      </w:pPr>
      <w:r w:rsidRPr="00F155BB">
        <w:rPr>
          <w:rFonts w:eastAsiaTheme="minorEastAsia"/>
          <w:lang w:eastAsia="pl-PL"/>
        </w:rPr>
        <w:t xml:space="preserve">- 25 h teoretycznych  (łącznie z egzaminem) </w:t>
      </w:r>
    </w:p>
    <w:p w14:paraId="1106069D" w14:textId="77777777" w:rsidR="00F155BB" w:rsidRPr="00F155BB" w:rsidRDefault="00F155BB" w:rsidP="00F155BB">
      <w:pPr>
        <w:spacing w:after="200" w:line="276" w:lineRule="auto"/>
        <w:rPr>
          <w:rFonts w:eastAsiaTheme="minorEastAsia"/>
          <w:lang w:eastAsia="pl-PL"/>
        </w:rPr>
      </w:pPr>
      <w:r w:rsidRPr="00F155BB">
        <w:rPr>
          <w:rFonts w:eastAsiaTheme="minorEastAsia"/>
          <w:lang w:eastAsia="pl-PL"/>
        </w:rPr>
        <w:t>- 10 h praktycznych na placu manewrowym</w:t>
      </w:r>
    </w:p>
    <w:p w14:paraId="2F3862F8" w14:textId="77777777" w:rsidR="00F155BB" w:rsidRPr="00F155BB" w:rsidRDefault="00F155BB" w:rsidP="00F155BB">
      <w:pPr>
        <w:spacing w:after="200" w:line="276" w:lineRule="auto"/>
        <w:rPr>
          <w:rFonts w:eastAsiaTheme="minorEastAsia"/>
          <w:lang w:eastAsia="pl-PL"/>
        </w:rPr>
      </w:pPr>
      <w:r w:rsidRPr="00F155BB">
        <w:rPr>
          <w:rFonts w:eastAsiaTheme="minorEastAsia"/>
          <w:lang w:eastAsia="pl-PL"/>
        </w:rPr>
        <w:t>Typ kursu: stacjonarny</w:t>
      </w:r>
      <w:r w:rsidRPr="00F155BB">
        <w:rPr>
          <w:rFonts w:eastAsiaTheme="minorEastAsia"/>
          <w:lang w:eastAsia="pl-PL"/>
        </w:rPr>
        <w:br/>
      </w:r>
      <w:r w:rsidRPr="00F155BB">
        <w:rPr>
          <w:rFonts w:eastAsiaTheme="minorEastAsia"/>
          <w:lang w:eastAsia="pl-PL"/>
        </w:rPr>
        <w:br/>
        <w:t xml:space="preserve">Elementy składowe usługi dla każdego uczestnika: usługa szkoleniowa, materiały szkoleniowe, egzamin zewnętrzny, badanie lekarskie. </w:t>
      </w:r>
      <w:r w:rsidRPr="00F155BB">
        <w:rPr>
          <w:rFonts w:eastAsiaTheme="minorEastAsia"/>
          <w:lang w:eastAsia="pl-PL"/>
        </w:rPr>
        <w:br/>
        <w:t>Egzamin: Kurs zakończy się uzyskaniem zaświadczenia o ukończeniu kursu obsługi wózków jezdniowych zgodnie ze wzorem MEN przygotowującym i pozwalającym przystąpić do egzaminu państwowego UDT.</w:t>
      </w:r>
      <w:r w:rsidRPr="00F155BB">
        <w:rPr>
          <w:rFonts w:eastAsiaTheme="minorEastAsia"/>
          <w:lang w:eastAsia="pl-PL"/>
        </w:rPr>
        <w:br/>
      </w:r>
      <w:r w:rsidRPr="00F155BB">
        <w:rPr>
          <w:rFonts w:eastAsiaTheme="minorEastAsia"/>
          <w:lang w:eastAsia="pl-PL"/>
        </w:rPr>
        <w:br/>
        <w:t xml:space="preserve">Miejsce realizacji kursu: </w:t>
      </w:r>
    </w:p>
    <w:p w14:paraId="213984D6" w14:textId="77777777" w:rsidR="00F155BB" w:rsidRPr="00F155BB" w:rsidRDefault="00F155BB" w:rsidP="00F155BB">
      <w:pPr>
        <w:spacing w:after="200" w:line="276" w:lineRule="auto"/>
        <w:rPr>
          <w:rFonts w:eastAsiaTheme="minorEastAsia"/>
          <w:lang w:eastAsia="pl-PL"/>
        </w:rPr>
      </w:pPr>
      <w:r w:rsidRPr="00F155BB">
        <w:rPr>
          <w:rFonts w:eastAsiaTheme="minorEastAsia"/>
          <w:lang w:eastAsia="pl-PL"/>
        </w:rPr>
        <w:t xml:space="preserve">Zamawiający zapewnia sale dydaktyczne – część teoretyczna. Plac manewrowy – zapewnia wykonawca.  </w:t>
      </w:r>
    </w:p>
    <w:p w14:paraId="36A9B6D2" w14:textId="77777777" w:rsidR="00F155BB" w:rsidRPr="00F155BB" w:rsidRDefault="00F155BB" w:rsidP="00F155BB">
      <w:pPr>
        <w:spacing w:after="200" w:line="276" w:lineRule="auto"/>
        <w:rPr>
          <w:rFonts w:eastAsiaTheme="minorEastAsia"/>
          <w:lang w:eastAsia="pl-PL"/>
        </w:rPr>
      </w:pPr>
      <w:r w:rsidRPr="00F155BB">
        <w:rPr>
          <w:rFonts w:eastAsiaTheme="minorEastAsia"/>
          <w:lang w:eastAsia="pl-PL"/>
        </w:rPr>
        <w:t>Materiały szkoleniowe: w formie drukowanej, wpięte w skoroszyt, po 1 egzemplarzu dla każdej osoby objętej projektem.</w:t>
      </w:r>
      <w:r w:rsidRPr="00F155BB">
        <w:rPr>
          <w:rFonts w:eastAsiaTheme="minorEastAsia"/>
          <w:lang w:eastAsia="pl-PL"/>
        </w:rPr>
        <w:br/>
      </w:r>
      <w:r w:rsidRPr="00F155BB">
        <w:rPr>
          <w:rFonts w:eastAsiaTheme="minorEastAsia"/>
          <w:lang w:eastAsia="pl-PL"/>
        </w:rPr>
        <w:br/>
        <w:t>Kadra: prowadzący szkolenia - min. 2 letnie doświadczenie zaw. w dziedzinie, znajomość tematyki szkolenia.</w:t>
      </w:r>
      <w:r w:rsidRPr="00F155BB">
        <w:rPr>
          <w:rFonts w:eastAsiaTheme="minorEastAsia"/>
          <w:lang w:eastAsia="pl-PL"/>
        </w:rPr>
        <w:br/>
      </w:r>
      <w:r w:rsidRPr="00F155BB">
        <w:rPr>
          <w:rFonts w:eastAsiaTheme="minorEastAsia"/>
          <w:lang w:eastAsia="pl-PL"/>
        </w:rPr>
        <w:br/>
        <w:t>Dodatkowe informacje: kurs skierowany do 32 uczniów Uczestnicy po zakończeniu kursu zdobędą uprawnienia do obsługi wózków jezdniowych (widłowych). Po zakończonym kursie uczestnicy podejdą do egzaminu Urzędu Dozoru Technicznego (UDT). Na potwierdzenie zdobytych kwalifikacji otrzymają certyfikaty UDT uprawniające do obsługi wózków jezdniowych.</w:t>
      </w:r>
      <w:r w:rsidRPr="00F155BB">
        <w:rPr>
          <w:rFonts w:eastAsiaTheme="minorEastAsia"/>
          <w:lang w:eastAsia="pl-PL"/>
        </w:rPr>
        <w:br/>
      </w:r>
      <w:r w:rsidRPr="00F155BB">
        <w:rPr>
          <w:rFonts w:eastAsiaTheme="minorEastAsia"/>
          <w:lang w:eastAsia="pl-PL"/>
        </w:rPr>
        <w:br/>
        <w:t xml:space="preserve">Ramowy program kursu: Wprowadzenie do kursu, typy i budowa wózków widłowych, BHP, obsługa techniczna wózków widłowych, </w:t>
      </w:r>
      <w:proofErr w:type="spellStart"/>
      <w:r w:rsidRPr="00F155BB">
        <w:rPr>
          <w:rFonts w:eastAsiaTheme="minorEastAsia"/>
          <w:lang w:eastAsia="pl-PL"/>
        </w:rPr>
        <w:t>ładunkoznawstwo</w:t>
      </w:r>
      <w:proofErr w:type="spellEnd"/>
      <w:r w:rsidRPr="00F155BB">
        <w:rPr>
          <w:rFonts w:eastAsiaTheme="minorEastAsia"/>
          <w:lang w:eastAsia="pl-PL"/>
        </w:rPr>
        <w:t>, dozór techniczny, wymiana butli gazowych, praktyczna nauka jazdy (w tym manewrowanie wózkiem i ćwiczenia praktyczne z ładunkami, egzamin wewnętrzny (test teoretyczny i egzamin praktyczny). Wykonawca przez zawarciem umowy przestawi do akceptacji Zamawiającemu pełny program kursu zgodny z wytycznymi UDT dla obsługujących wózki widłowe. Absolwenci po ukończeniu kursu przystąpią do egzaminu, po którym otrzymają uprawnienia na wózki widłowe w formie zaświadczenia kwalifikacyjnego zgodne z UDT.</w:t>
      </w:r>
    </w:p>
    <w:p w14:paraId="27D76F28" w14:textId="77777777" w:rsidR="00F155BB" w:rsidRPr="00F155BB" w:rsidRDefault="00F155BB" w:rsidP="00F155BB">
      <w:pPr>
        <w:spacing w:after="200" w:line="276" w:lineRule="auto"/>
        <w:rPr>
          <w:rFonts w:eastAsiaTheme="minorEastAsia"/>
          <w:lang w:eastAsia="pl-PL"/>
        </w:rPr>
      </w:pPr>
      <w:r w:rsidRPr="00F155BB">
        <w:rPr>
          <w:rFonts w:eastAsiaTheme="minorEastAsia"/>
          <w:lang w:eastAsia="pl-PL"/>
        </w:rPr>
        <w:lastRenderedPageBreak/>
        <w:t>Wykonawca zapewnia sprzęt do realizacji części praktycznej w postaci wózków widłowych i plac manewrowy</w:t>
      </w:r>
    </w:p>
    <w:p w14:paraId="0ED01558" w14:textId="77777777" w:rsidR="00F155BB" w:rsidRPr="00F155BB" w:rsidRDefault="00F155BB" w:rsidP="00F155BB">
      <w:pPr>
        <w:spacing w:after="200" w:line="276" w:lineRule="auto"/>
        <w:rPr>
          <w:rFonts w:eastAsiaTheme="minorEastAsia"/>
          <w:lang w:eastAsia="pl-PL"/>
        </w:rPr>
      </w:pPr>
      <w:r w:rsidRPr="00F155BB">
        <w:rPr>
          <w:rFonts w:eastAsiaTheme="minorEastAsia"/>
          <w:lang w:eastAsia="pl-PL"/>
        </w:rPr>
        <w:t>Termin realizacji:</w:t>
      </w:r>
    </w:p>
    <w:p w14:paraId="5FCF9334" w14:textId="77777777" w:rsidR="00F155BB" w:rsidRPr="00F155BB" w:rsidRDefault="00F155BB" w:rsidP="00F155BB">
      <w:pPr>
        <w:spacing w:after="200" w:line="276" w:lineRule="auto"/>
        <w:rPr>
          <w:rFonts w:eastAsiaTheme="minorEastAsia"/>
          <w:lang w:eastAsia="pl-PL"/>
        </w:rPr>
      </w:pPr>
      <w:r w:rsidRPr="00F155BB">
        <w:rPr>
          <w:rFonts w:eastAsiaTheme="minorEastAsia"/>
          <w:lang w:eastAsia="pl-PL"/>
        </w:rPr>
        <w:t>4gr</w:t>
      </w:r>
    </w:p>
    <w:p w14:paraId="394F219C" w14:textId="77777777" w:rsidR="00F155BB" w:rsidRPr="00F155BB" w:rsidRDefault="00F155BB" w:rsidP="00F155BB">
      <w:pPr>
        <w:spacing w:after="200" w:line="276" w:lineRule="auto"/>
        <w:rPr>
          <w:rFonts w:eastAsiaTheme="minorEastAsia"/>
          <w:lang w:eastAsia="pl-PL"/>
        </w:rPr>
      </w:pPr>
      <w:r w:rsidRPr="00F155BB">
        <w:rPr>
          <w:rFonts w:eastAsiaTheme="minorEastAsia"/>
          <w:lang w:eastAsia="pl-PL"/>
        </w:rPr>
        <w:t>1 gr – październik/listopad</w:t>
      </w:r>
    </w:p>
    <w:p w14:paraId="2BC930D8" w14:textId="77777777" w:rsidR="00F155BB" w:rsidRPr="00F155BB" w:rsidRDefault="00F155BB" w:rsidP="00F155BB">
      <w:pPr>
        <w:spacing w:after="200" w:line="276" w:lineRule="auto"/>
        <w:rPr>
          <w:rFonts w:eastAsiaTheme="minorEastAsia"/>
          <w:lang w:eastAsia="pl-PL"/>
        </w:rPr>
      </w:pPr>
      <w:r w:rsidRPr="00F155BB">
        <w:rPr>
          <w:rFonts w:eastAsiaTheme="minorEastAsia"/>
          <w:lang w:eastAsia="pl-PL"/>
        </w:rPr>
        <w:t xml:space="preserve">2 gr – listopad/grudzień </w:t>
      </w:r>
    </w:p>
    <w:p w14:paraId="606399C5" w14:textId="77777777" w:rsidR="00F155BB" w:rsidRPr="00F155BB" w:rsidRDefault="00F155BB" w:rsidP="00F155BB">
      <w:pPr>
        <w:spacing w:after="200" w:line="276" w:lineRule="auto"/>
        <w:rPr>
          <w:rFonts w:eastAsiaTheme="minorEastAsia"/>
          <w:lang w:eastAsia="pl-PL"/>
        </w:rPr>
      </w:pPr>
      <w:r w:rsidRPr="00F155BB">
        <w:rPr>
          <w:rFonts w:eastAsiaTheme="minorEastAsia"/>
          <w:lang w:eastAsia="pl-PL"/>
        </w:rPr>
        <w:t xml:space="preserve">3 gr od stycznia </w:t>
      </w:r>
    </w:p>
    <w:p w14:paraId="680F0975" w14:textId="77777777" w:rsidR="00F155BB" w:rsidRPr="00F155BB" w:rsidRDefault="00F155BB" w:rsidP="00F155BB">
      <w:pPr>
        <w:spacing w:after="200" w:line="276" w:lineRule="auto"/>
        <w:rPr>
          <w:rFonts w:eastAsiaTheme="minorEastAsia"/>
          <w:lang w:eastAsia="pl-PL"/>
        </w:rPr>
      </w:pPr>
      <w:r w:rsidRPr="00F155BB">
        <w:rPr>
          <w:rFonts w:eastAsiaTheme="minorEastAsia"/>
          <w:lang w:eastAsia="pl-PL"/>
        </w:rPr>
        <w:t>4 gr od marca</w:t>
      </w:r>
    </w:p>
    <w:p w14:paraId="2143F829" w14:textId="77777777" w:rsidR="00F155BB" w:rsidRPr="00CA2C73" w:rsidRDefault="00F155BB" w:rsidP="00CA2C73">
      <w:pPr>
        <w:spacing w:after="200" w:line="276" w:lineRule="auto"/>
        <w:rPr>
          <w:rFonts w:eastAsiaTheme="minorEastAsia"/>
          <w:lang w:eastAsia="pl-PL"/>
        </w:rPr>
      </w:pPr>
    </w:p>
    <w:sectPr w:rsidR="00F155BB" w:rsidRPr="00CA2C73" w:rsidSect="005B61B3">
      <w:headerReference w:type="default" r:id="rId6"/>
      <w:footerReference w:type="default" r:id="rId7"/>
      <w:pgSz w:w="11906" w:h="16838"/>
      <w:pgMar w:top="1417" w:right="1417" w:bottom="851" w:left="1417" w:header="708" w:footer="1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4C5095" w14:textId="77777777" w:rsidR="004F6E6D" w:rsidRDefault="004F6E6D" w:rsidP="004F6E6D">
      <w:pPr>
        <w:spacing w:after="0" w:line="240" w:lineRule="auto"/>
      </w:pPr>
      <w:r>
        <w:separator/>
      </w:r>
    </w:p>
  </w:endnote>
  <w:endnote w:type="continuationSeparator" w:id="0">
    <w:p w14:paraId="1900B70B" w14:textId="77777777" w:rsidR="004F6E6D" w:rsidRDefault="004F6E6D" w:rsidP="004F6E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1602C" w14:textId="77777777" w:rsidR="005B61B3" w:rsidRPr="005B61B3" w:rsidRDefault="005B61B3" w:rsidP="005B61B3">
    <w:pPr>
      <w:autoSpaceDE w:val="0"/>
      <w:autoSpaceDN w:val="0"/>
      <w:adjustRightInd w:val="0"/>
      <w:spacing w:after="200" w:line="276" w:lineRule="auto"/>
      <w:jc w:val="center"/>
      <w:rPr>
        <w:rFonts w:ascii="Times New Roman" w:eastAsia="Times New Roman" w:hAnsi="Times New Roman" w:cs="Times New Roman"/>
        <w:bCs/>
        <w:sz w:val="18"/>
        <w:szCs w:val="18"/>
        <w:lang w:eastAsia="pl-PL"/>
      </w:rPr>
    </w:pPr>
    <w:r w:rsidRPr="005B61B3">
      <w:rPr>
        <w:rFonts w:ascii="Times New Roman" w:eastAsia="Times New Roman" w:hAnsi="Times New Roman" w:cs="Times New Roman"/>
        <w:sz w:val="18"/>
        <w:szCs w:val="18"/>
        <w:lang w:eastAsia="pl-PL"/>
      </w:rPr>
      <w:t>Projekt: „</w:t>
    </w:r>
    <w:r w:rsidRPr="005B61B3">
      <w:rPr>
        <w:rFonts w:ascii="Times New Roman" w:eastAsia="Times New Roman" w:hAnsi="Times New Roman" w:cs="Times New Roman"/>
        <w:color w:val="000000"/>
        <w:sz w:val="18"/>
        <w:szCs w:val="18"/>
        <w:lang w:eastAsia="pl-PL"/>
      </w:rPr>
      <w:t>Wdrożenie programów rozwojowych szkół prowadzących kształcenie zawodowe w MOF Biała Podlaska”</w:t>
    </w:r>
    <w:r w:rsidRPr="005B61B3">
      <w:rPr>
        <w:rFonts w:ascii="Times New Roman" w:eastAsia="Times New Roman" w:hAnsi="Times New Roman" w:cs="Times New Roman"/>
        <w:color w:val="000000"/>
        <w:sz w:val="18"/>
        <w:szCs w:val="18"/>
        <w:lang w:eastAsia="pl-PL"/>
      </w:rPr>
      <w:br/>
    </w:r>
    <w:r w:rsidRPr="005B61B3">
      <w:rPr>
        <w:rFonts w:ascii="Times New Roman" w:eastAsia="Times New Roman" w:hAnsi="Times New Roman" w:cs="Times New Roman"/>
        <w:bCs/>
        <w:sz w:val="18"/>
        <w:szCs w:val="18"/>
        <w:lang w:eastAsia="pl-PL"/>
      </w:rPr>
      <w:t>Beneficjent: Gmina Miejska Biała Podlaska, ul. Marszałka Józefa Piłsudskiego 3, 21-500 Biała Podlaska</w:t>
    </w:r>
  </w:p>
  <w:p w14:paraId="50EB9212" w14:textId="77777777" w:rsidR="004F6E6D" w:rsidRDefault="004F6E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D97E88" w14:textId="77777777" w:rsidR="004F6E6D" w:rsidRDefault="004F6E6D" w:rsidP="004F6E6D">
      <w:pPr>
        <w:spacing w:after="0" w:line="240" w:lineRule="auto"/>
      </w:pPr>
      <w:r>
        <w:separator/>
      </w:r>
    </w:p>
  </w:footnote>
  <w:footnote w:type="continuationSeparator" w:id="0">
    <w:p w14:paraId="66EC46D3" w14:textId="77777777" w:rsidR="004F6E6D" w:rsidRDefault="004F6E6D" w:rsidP="004F6E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C9F6B" w14:textId="3FBAC225" w:rsidR="004F6E6D" w:rsidRDefault="004F6E6D">
    <w:pPr>
      <w:pStyle w:val="Nagwek"/>
    </w:pPr>
    <w:r w:rsidRPr="007E6C47">
      <w:rPr>
        <w:rFonts w:ascii="Calibri" w:eastAsia="Calibri" w:hAnsi="Calibri" w:cs="Times New Roman"/>
        <w:noProof/>
      </w:rPr>
      <w:drawing>
        <wp:inline distT="0" distB="0" distL="0" distR="0" wp14:anchorId="7AB6CB59" wp14:editId="01B1A461">
          <wp:extent cx="5760720" cy="608965"/>
          <wp:effectExtent l="0" t="0" r="0" b="635"/>
          <wp:docPr id="1508116420" name="Obraz 1508116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60896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DCF"/>
    <w:rsid w:val="00003BD4"/>
    <w:rsid w:val="001254DE"/>
    <w:rsid w:val="00187B17"/>
    <w:rsid w:val="00294100"/>
    <w:rsid w:val="00335924"/>
    <w:rsid w:val="004F4DF4"/>
    <w:rsid w:val="004F6E6D"/>
    <w:rsid w:val="005B61B3"/>
    <w:rsid w:val="0072528A"/>
    <w:rsid w:val="007D2DCF"/>
    <w:rsid w:val="008E278B"/>
    <w:rsid w:val="0092502F"/>
    <w:rsid w:val="009A5383"/>
    <w:rsid w:val="00A241BC"/>
    <w:rsid w:val="00AB3999"/>
    <w:rsid w:val="00AE0E2F"/>
    <w:rsid w:val="00C21BCF"/>
    <w:rsid w:val="00CA2C73"/>
    <w:rsid w:val="00D9108F"/>
    <w:rsid w:val="00DE1C59"/>
    <w:rsid w:val="00EA2EAF"/>
    <w:rsid w:val="00F155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98ADA0D"/>
  <w15:chartTrackingRefBased/>
  <w15:docId w15:val="{947206C2-B48F-4D1D-B1C7-5CE45F4F4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01">
    <w:name w:val="fontstyle01"/>
    <w:basedOn w:val="Domylnaczcionkaakapitu"/>
    <w:rsid w:val="00DE1C59"/>
    <w:rPr>
      <w:rFonts w:ascii="Arial" w:hAnsi="Arial" w:cs="Arial" w:hint="default"/>
      <w:b w:val="0"/>
      <w:bCs w:val="0"/>
      <w:i w:val="0"/>
      <w:iCs w:val="0"/>
      <w:color w:val="000000"/>
      <w:sz w:val="24"/>
      <w:szCs w:val="24"/>
    </w:rPr>
  </w:style>
  <w:style w:type="paragraph" w:styleId="Akapitzlist">
    <w:name w:val="List Paragraph"/>
    <w:basedOn w:val="Normalny"/>
    <w:uiPriority w:val="34"/>
    <w:qFormat/>
    <w:rsid w:val="00DE1C59"/>
    <w:pPr>
      <w:ind w:left="720"/>
      <w:contextualSpacing/>
    </w:pPr>
  </w:style>
  <w:style w:type="character" w:customStyle="1" w:styleId="uv3um">
    <w:name w:val="uv3um"/>
    <w:basedOn w:val="Domylnaczcionkaakapitu"/>
    <w:rsid w:val="00DE1C59"/>
  </w:style>
  <w:style w:type="paragraph" w:styleId="Nagwek">
    <w:name w:val="header"/>
    <w:basedOn w:val="Normalny"/>
    <w:link w:val="NagwekZnak"/>
    <w:uiPriority w:val="99"/>
    <w:unhideWhenUsed/>
    <w:rsid w:val="004F6E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F6E6D"/>
  </w:style>
  <w:style w:type="paragraph" w:styleId="Stopka">
    <w:name w:val="footer"/>
    <w:basedOn w:val="Normalny"/>
    <w:link w:val="StopkaZnak"/>
    <w:uiPriority w:val="99"/>
    <w:unhideWhenUsed/>
    <w:rsid w:val="004F6E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F6E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21666">
      <w:bodyDiv w:val="1"/>
      <w:marLeft w:val="0"/>
      <w:marRight w:val="0"/>
      <w:marTop w:val="0"/>
      <w:marBottom w:val="0"/>
      <w:divBdr>
        <w:top w:val="none" w:sz="0" w:space="0" w:color="auto"/>
        <w:left w:val="none" w:sz="0" w:space="0" w:color="auto"/>
        <w:bottom w:val="none" w:sz="0" w:space="0" w:color="auto"/>
        <w:right w:val="none" w:sz="0" w:space="0" w:color="auto"/>
      </w:divBdr>
    </w:div>
    <w:div w:id="227617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315</Words>
  <Characters>1894</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dc:creator>
  <cp:keywords/>
  <dc:description/>
  <cp:lastModifiedBy>Joanna Wolska</cp:lastModifiedBy>
  <cp:revision>14</cp:revision>
  <dcterms:created xsi:type="dcterms:W3CDTF">2025-05-28T20:30:00Z</dcterms:created>
  <dcterms:modified xsi:type="dcterms:W3CDTF">2025-09-29T13:02:00Z</dcterms:modified>
</cp:coreProperties>
</file>